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widowControl w:val="false"/>
        <w:spacing w:line="240" w:lineRule="exact"/>
        <w:jc w:val="both"/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ab/>
        <w:tab/>
        <w:t xml:space="preserve">  ПРИЛОЖЕНИЕ</w:t>
      </w:r>
    </w:p>
    <w:p>
      <w:pPr>
        <w:pStyle w:val="style0"/>
        <w:widowControl w:val="false"/>
        <w:spacing w:line="240" w:lineRule="exact"/>
        <w:jc w:val="both"/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 xml:space="preserve">            к постановлению администрации города</w:t>
      </w:r>
    </w:p>
    <w:p>
      <w:pPr>
        <w:pStyle w:val="style0"/>
        <w:widowControl w:val="false"/>
        <w:spacing w:line="240" w:lineRule="exact"/>
        <w:jc w:val="both"/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ab/>
        <w:t xml:space="preserve">     от  01.04.2015  № 467</w:t>
      </w:r>
    </w:p>
    <w:p>
      <w:pPr>
        <w:pStyle w:val="style0"/>
        <w:widowControl w:val="false"/>
        <w:spacing w:line="240" w:lineRule="exact"/>
        <w:jc w:val="both"/>
      </w:pPr>
      <w:r>
        <w:rPr>
          <w:rFonts w:cs="Calibri"/>
        </w:rPr>
        <w:tab/>
        <w:tab/>
        <w:tab/>
        <w:tab/>
        <w:tab/>
        <w:tab/>
        <w:tab/>
        <w:tab/>
        <w:tab/>
        <w:tab/>
        <w:tab/>
        <w:tab/>
        <w:tab/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ПРИЛОЖЕНИЕ № 2 </w:t>
      </w:r>
    </w:p>
    <w:p>
      <w:pPr>
        <w:pStyle w:val="style0"/>
        <w:widowControl w:val="false"/>
        <w:spacing w:line="240" w:lineRule="exact"/>
        <w:jc w:val="both"/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ab/>
        <w:t>к муниципальной программе города</w:t>
      </w:r>
    </w:p>
    <w:p>
      <w:pPr>
        <w:pStyle w:val="style0"/>
        <w:widowControl w:val="false"/>
        <w:spacing w:line="240" w:lineRule="exact"/>
        <w:jc w:val="both"/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ab/>
        <w:t>Рассказово «Обеспечение безопасности</w:t>
      </w:r>
    </w:p>
    <w:p>
      <w:pPr>
        <w:pStyle w:val="style0"/>
        <w:widowControl w:val="false"/>
        <w:spacing w:line="240" w:lineRule="exact"/>
        <w:jc w:val="both"/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ab/>
        <w:t>населения города Рассказово, защита его</w:t>
      </w:r>
    </w:p>
    <w:p>
      <w:pPr>
        <w:pStyle w:val="style0"/>
        <w:widowControl w:val="false"/>
        <w:spacing w:line="240" w:lineRule="exact"/>
        <w:jc w:val="both"/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ab/>
        <w:t>жизненно-важных интересов и противодей-</w:t>
      </w:r>
    </w:p>
    <w:p>
      <w:pPr>
        <w:pStyle w:val="style0"/>
        <w:widowControl w:val="false"/>
        <w:spacing w:line="240" w:lineRule="exact"/>
        <w:jc w:val="both"/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ab/>
        <w:t xml:space="preserve">ствие преступности» на 2014-2020 годы </w:t>
      </w:r>
    </w:p>
    <w:p>
      <w:pPr>
        <w:pStyle w:val="style0"/>
        <w:widowControl w:val="false"/>
        <w:spacing w:line="240" w:lineRule="exact"/>
        <w:jc w:val="both"/>
      </w:pPr>
      <w:r>
        <w:rPr>
          <w:rFonts w:ascii="Times New Roman" w:hAnsi="Times New Roman"/>
          <w:sz w:val="24"/>
          <w:szCs w:val="24"/>
        </w:rPr>
      </w:r>
    </w:p>
    <w:p>
      <w:pPr>
        <w:pStyle w:val="style0"/>
        <w:widowControl w:val="false"/>
        <w:spacing w:line="240" w:lineRule="exact"/>
        <w:jc w:val="center"/>
      </w:pPr>
      <w:r>
        <w:rPr>
          <w:rFonts w:ascii="Times New Roman" w:hAnsi="Times New Roman"/>
          <w:sz w:val="24"/>
          <w:szCs w:val="24"/>
        </w:rPr>
        <w:t>ПЕРЕЧЕНЬ МЕРОПРИЯТИЙ</w:t>
      </w:r>
    </w:p>
    <w:p>
      <w:pPr>
        <w:pStyle w:val="style0"/>
        <w:widowControl w:val="false"/>
        <w:spacing w:line="240" w:lineRule="exact"/>
        <w:jc w:val="center"/>
      </w:pPr>
      <w:r>
        <w:rPr>
          <w:rFonts w:ascii="Times New Roman" w:hAnsi="Times New Roman"/>
          <w:sz w:val="24"/>
          <w:szCs w:val="24"/>
        </w:rPr>
        <w:t>муниципальной программе города Рассказово «Обеспечение безопасности</w:t>
      </w:r>
    </w:p>
    <w:p>
      <w:pPr>
        <w:pStyle w:val="style0"/>
        <w:widowControl w:val="false"/>
        <w:spacing w:line="240" w:lineRule="exact"/>
        <w:jc w:val="center"/>
      </w:pPr>
      <w:r>
        <w:rPr>
          <w:rFonts w:ascii="Times New Roman" w:hAnsi="Times New Roman"/>
          <w:sz w:val="24"/>
          <w:szCs w:val="24"/>
        </w:rPr>
        <w:t>населения города Рассказово, защита его жизненно-важных интересов и противодей-</w:t>
      </w:r>
    </w:p>
    <w:p>
      <w:pPr>
        <w:pStyle w:val="style0"/>
        <w:widowControl w:val="false"/>
        <w:spacing w:line="240" w:lineRule="exact"/>
        <w:jc w:val="center"/>
      </w:pPr>
      <w:r>
        <w:rPr>
          <w:rFonts w:ascii="Times New Roman" w:hAnsi="Times New Roman"/>
          <w:sz w:val="24"/>
          <w:szCs w:val="24"/>
        </w:rPr>
        <w:t>ствие преступности» на 2014-2020 годы</w:t>
      </w:r>
    </w:p>
    <w:tbl>
      <w:tblPr>
        <w:jc w:val="left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Ind w:type="dxa" w:w="-108"/>
      </w:tblPr>
      <w:tblGrid>
        <w:gridCol w:w="1593"/>
        <w:gridCol w:w="1593"/>
        <w:gridCol w:w="1594"/>
        <w:gridCol w:w="1593"/>
        <w:gridCol w:w="1594"/>
        <w:gridCol w:w="1593"/>
      </w:tblGrid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Программные мероприятия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финансиро-вания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Финансовые затраты на реализацию (тыс. рублей)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Целевые индикаторы </w:t>
            </w:r>
          </w:p>
        </w:tc>
        <w:tc>
          <w:tcPr>
            <w:tcW w:type="dxa" w:w="1593"/>
            <w:gridSpan w:val="8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Заказчики программы – ответственные за выполнение</w:t>
            </w:r>
          </w:p>
        </w:tc>
      </w:tr>
      <w:tr>
        <w:trPr>
          <w:cantSplit w:val="false"/>
        </w:trPr>
        <w:tc>
          <w:tcPr>
            <w:tcW w:type="dxa" w:w="1593"/>
            <w:vMerge w:val="continue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Все-</w:t>
            </w:r>
          </w:p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gridSpan w:val="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593"/>
            <w:vMerge w:val="continue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593"/>
            <w:gridSpan w:val="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2"/>
              </w:numPr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Подпрограмма «Обеспечение общественного порядка и противодействие преступности в городе Рассказово» на 2014-2020 годы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Размещение в средствах массовой информации </w:t>
            </w:r>
          </w:p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   о способах и средствах пра</w:t>
              <w:t>вомерной защиты граждан от преступных и иных посяга</w:t>
              <w:t>тельств, одновременной пропагандой патриотизма, здорового образа жизни и</w:t>
            </w:r>
          </w:p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ориентацией на духовные ценности  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>2014 – 24 материала</w:t>
            </w:r>
          </w:p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>2015 – 24 материала</w:t>
            </w:r>
          </w:p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>2016 – 24 материала</w:t>
            </w:r>
          </w:p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 – 24 материала </w:t>
            </w:r>
          </w:p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>2018 – 24</w:t>
            </w:r>
          </w:p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>2019 – 24</w:t>
            </w:r>
          </w:p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>2020 – 24 материала</w:t>
            </w:r>
          </w:p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ГО, ЧС, ОБ и МП администрации города, отдел организационно-правовой и кадровой работы администрации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Проводить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«дни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профилактики»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наиболее криминогенных микрорайонах,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 привлечением сотрудников   всех заинтересованных служб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прес тупности на терри-тории города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>Отдел ГО, ЧС, ОБ и МП администрации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Провести   по   отдельным   планам, 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 учетом складывающейся криминогенной обстановки в области,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комплексные   оперативно-профилактические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операции: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«Условник» (1,4 квартал), «Быт» (2 квартал), «Участок» (4 квартал),   «Подросток» (в течении года)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прес тупности на терри-тории города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ГО, ЧС, ОБ и МП администрации города, </w:t>
            </w:r>
          </w:p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комиссия по делам н/летних и защите их прав администрации города. 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Обеспечить круглосуточное освидетельствование лиц,   находящихся в состоянии алкогольного или наркотического опьянения в психонаркологическом отделении муниципального учреждения здравоохранения «Рассказовская центральная районная больница» (далее МУЗ «Рассказовская ЦРБ»)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прес тупности на терри-тории города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ГО, ЧС, ОБ и МП администрации города 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Проводить рейдовые мероприятия по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предупреждению правонарушений, связанных с нарушением правил торговли и применения контрольно-кассовой техники, а также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противодействию производства и распространения контрафактной и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фальсифицированной продукции на территории области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прес тупности на терри-тории города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потребительского рынка и  защиты прав потребителей администрации города 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Развивать движения юных помощников полиции, юных инспекторов безопасности дорожного дви</w:t>
              <w:t>жения, секции и кружки по изучению уголовного и административного законодательства,  правил до</w:t>
              <w:t xml:space="preserve">рожного движения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52,0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Сниже-ние коли-чества правона-рушений среди н/летних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образования администрации города 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1.7.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Обеспечить участие общественности в деятельности формирований правоохранительной направленности, ДНД, оперативных отрядов, активизировать работу внештатных сотрудников полиции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прес тупности на терри-тории города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ГО, ЧС, ОБ и МП администрации города, отдел организационно-правовой и кадровой работы администрации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1.8.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Организовать проведение  тематических мероприятий с несовер</w:t>
              <w:t>шеннолетними, состоящими на учетах в правоохра</w:t>
              <w:t>нительных органах, посвященных здоровому образу жизни, а также агитационно-пропагандистских и культурно-массовых мероприятий (праздники, спортивные сорев</w:t>
              <w:t xml:space="preserve">нования, фестивали и т.д.) в каникулярное время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Сниже-ние коли-чества правона-рушений среди н/летних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образования, отдел по делам культуры, спорта и вопросам молодежной политики администрации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1.9.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Организовать проведение семинаров, лекций для обучающихся в образовательных учреждениях всех типов и видов о профилакти</w:t>
              <w:t>ке пьянства и алкоголизма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Сниже-ние коли-чества правона-рушений среди н/летних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образования администрации города 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1.10.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Обеспечить взаимодействие органов местного самоуправления, внутренних дел, социальной защиты населения, образования, занятости, здравоохранения по предупреждению безнадзорности и правонарушений несовершеннолетних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Сниже-ние коли-чества правона-рушений среди н/летних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делам н/летних и защите их прав администрации города, отдел образования администрации города 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1.11.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>Провести комплексное обследование семей, имеющих на иждивении несовершеннолетних детей, родители которых состоят на профилактическом учете органов внутренних дел с принятием в соответствии с действующим законодательством мер по социальной и правовой защите детей в этих семьях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Сниже-ние коли-чества правона-рушений среди н/летних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 по делам несовершеннолетних и защиты их прав администрации города,  отдел  образования администрации города 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1.12.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работы по трудоустройству лиц, освободившихся из мест лишения свободы и прибывших в город, по их переобучению и постановке на учет в городском центре занятости населения.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100 % трудоустройство обратившихся лиц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>Отдел по экономике администрации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1.13.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Оборудовать оживленные улицы и другие места массового пребывания граждан средствами видеонаблюдения и оплачивать их эксплуатацию </w:t>
            </w:r>
          </w:p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Всего: </w:t>
            </w:r>
          </w:p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т.ч. внебюджетные средства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1304,5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164,0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220,0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2014 г. – 5 ед. </w:t>
            </w:r>
          </w:p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>2015г.- 5  ед.;</w:t>
            </w:r>
          </w:p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>2016г.-5 ед.</w:t>
            </w:r>
          </w:p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 г. – 7 ед. </w:t>
            </w:r>
          </w:p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г.- 7 ед. </w:t>
            </w:r>
          </w:p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2019г.- 7 ед. </w:t>
            </w:r>
          </w:p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2020г. – 9 ед.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>МКУ «КУГХ»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1.14.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Отчеты участковых уполномоченных полиции и представителей орга</w:t>
              <w:t>нов местного  самоуправления  перед населением административных участков, коллективами пред</w:t>
              <w:t>приятий, учреждений, организаций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Своевременное информирование населения по профилактики правонарушений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ГО, ЧС, ОБ и МП администрации города, МО МВД РФ «Рассказовс-кий» 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1.15.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опорных пунктов полиции и приобретение спецтехники для обеспечения общественной безопасности на территории города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>Городской 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1260,5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22,5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1024,0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преступ-ности в городе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по подпрограмме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 xml:space="preserve">2910,0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210,0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1200,0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250,0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300,0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 w:val="false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В т.ч. внебюджетные средства 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780,0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100,0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100,0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100,0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120,0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593"/>
            <w:gridSpan w:val="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2"/>
              </w:numPr>
              <w:spacing w:after="0" w:before="0" w:line="100" w:lineRule="atLeast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Подпрограмма «Противодействие терроризму и экстремизму в городе Рассказово» на 2014-2020 годы 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Регулярное проведение проверок состояния антитеррористической защищенности потенциально опасных объектов: 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объектов социально-жилищно-культурной сферы, энергетики, водоснабжения; взрыво- и пожароопасных, химико - и бактериологически опасных предприятий, объектов транспортной инфраструктуры.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2014 – 8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2015 – 8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2016 – 8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2017 – 8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2018 – 8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2019 – 8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2020 - 8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ГО, ЧС, ОБ и МП администра-ции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мониторинга печатных и электронных средств массовой информации города с целью исключения изготовления и распространения публикаций, направленных на пропаганду признаков терроризма и экстремизма.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Недопущение публика-ций и экстремистских матери-алов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организаци-онно-правовой и кадровой работы администра-ции города, отдел ГО, ЧС, ОБ и МП администра-ции города</w:t>
            </w:r>
          </w:p>
        </w:tc>
      </w:tr>
      <w:tr>
        <w:trPr>
          <w:trHeight w:hRule="atLeast" w:val="4512"/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реализация комплекса мер по распространению на телевидении, в других средствах массовой информации, информационно-коммуникационных сетях общего пользования материалов по дискредитации экстремистских проявлений, пропаганде межкультурного и межрелигиозного диалога, уважительного отношения к мигрантам, информации о деятельности национальных объединений и религиозных организаций в части противодействия экстремизму и позитивного опыта, наработанного Российской Федерацией.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Недопущение соверше-ния террористического акта и экстремистских проявле-ний на террито-рии города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организаци-онно-правовой и кадровой работы администра-ции города, отдел ГО, ЧС, ОБ и МП администра-ции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2.4.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Публикация в городских печатных и электронных СМИ материалов антитеррористического характера.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2014 – 4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2015 – 4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2016 – 4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2017 – 4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2018 – 4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2019 – 4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2020 - 4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организаци-онно-правовой и кадровой работы администра-ции города, отдел ГО, ЧС, ОБ и МП администра-ции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2.5.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обеспечения антитеррористической деятельности, помощь по осуществлению мер первоочередной защиты предприятиям и организациям города.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Недопущение совершения терракта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ГО, ЧС, ОБ и МП администра-ции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2.6.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комплекса мер, направленных на усиление безопасности: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- жилых микрорайонов и мест массового пребывания людей, в том числе, техническое укрепление чердаков, подвалов, подъездов;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- водозаборных узлов и иных объектов жизнеобеспечения с применением технических средств;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- учебных и дошкольных заведений, учреждений здравоохранения.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2353 в том чис-ле 1380 - внебюджетные источники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243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том числе 190 - внебюджетные источники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том числе 190 - внебюджетные источники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том числе 190 - внебюджетные источники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том числе 200 - внебюджетные источники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том числе 200 - внебюджетные источники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том числе 200 - внебюджетные источники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том числе 210 - внебюджетные источники 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Недопущение соверше-ния терракта на террито-рии города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МКУ «КУГХ», отдел образования администра-ции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Регулярное проведение семинаров с руководителями учебных, дошкольных и лечебных учреждений по вопросам организации системы антитеррористической защиты.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Недопущение совершения террактов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города, отдел ГО, ЧС, ОБ и МП администра-ции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2.8.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Уточнение перечня заброшенных зданий и помещений, расположенных на территории муниципальных образований. Своевременное информирование правоохранительных органов о фактах нахождения (проживания) на указанных объектах подозрительных лиц, предметов и вещей.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Недопущение совершения террактов на террито-рии города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по управлению муниципаль-ным имуществом администра-ции города, 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МКУ «КУГХ»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2.9.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Повышение антитеррористической защищенности мест прибытия и отправления транспортных средств, осуществляющих междугородние и межрегиональные перевозки: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- выявление и пресечение нелегальных мест отправления, прибытия и отстоя пассажирского транспорта, и лиц, причастных к данной деятельности.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Внебюд-жетные средства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395,0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Недопущение совершения террактов на транс-порте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потребительского рынка и защиты прав потребителей администра-ции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2.10.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системы инженерной защиты, исключающей несанкционированную парковку транспортных средств вблизи учебных и дошкольных заведений, учреждений здравоохранения, а также мест проведения массовых культурно-зрелищных и спортивных мероприятий.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Городской бюджет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Недопущение совершения террактов вблизи социаль-ных объектов и в местах массовых мероприя-тий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образования администра-ции города, отдел по делам культуры, спорта и вопросам молодежной политики администра-ции города, отдел ГО, ЧС, ОБ и МП администра-ции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2.11.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Исключение фактов незаконного использования иностранной рабочей силы.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своевременного информирования правоохранительных органов о наличии строительных бригад, в состав которых входят выходцы из Среднеазиатского и Северокавказского регионов.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Недопущение совершения террактов  на террито-рии города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Комитет по экономике и предприни -мательству администра-ции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2.12.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Проведение учений и тренировок с группами антикризисной деятельности при аппарате антитеррористической  комиссии города по обеспечению реализации организационных мероприятий, необходимых для оказания содействия оперативному штабу по управлению контртеррористической операцией.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Городской бюджет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2014г. – 2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2015г. – 2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2016г. – 2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2017г. – 2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2018г. - 2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2019г.-  2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2020 г. - 2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ГО, ЧС, ОБ и МП администра-ции города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2.13.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сбора информации о прибывающих в город беженцах и вынужденных переселенцах, с последующей проверкой их на причастность к террористическим и экстремистским организациям, незаконным вооруженным формированиям.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ГО, ЧС, ОБ и МП администра-ции города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1593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по подпрограмме: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3005,0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340,0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390,0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390,0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455,0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455,0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455,0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1230,0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195,0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195,0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195,0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Внебюд-жетные средства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1775,0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275,0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593"/>
            <w:gridSpan w:val="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360" w:right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3. Подпрограмма «Повышения безопасности дорожного движения в городе Рассказово» на 2014-2020 годы 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3.1.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Реализация нормативных актов,         </w:t>
              <w:br/>
              <w:t xml:space="preserve">обеспечивающих формирование и         </w:t>
              <w:br/>
              <w:t xml:space="preserve">функционирование системы обучения     </w:t>
              <w:br/>
              <w:t xml:space="preserve">безопасному поведению и профилактике  </w:t>
              <w:br/>
              <w:t xml:space="preserve">детского дорожно-транспортного        </w:t>
              <w:br/>
              <w:t xml:space="preserve">травматизма                          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Улучшение взаимодействия ведомств по профилактике ДТТ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города</w:t>
            </w:r>
          </w:p>
        </w:tc>
      </w:tr>
      <w:tr>
        <w:trPr>
          <w:trHeight w:hRule="atLeast" w:val="2117"/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3.2.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Подготовка данных для участия в областном        </w:t>
              <w:br/>
              <w:t xml:space="preserve">ежегодном  конкурсе на лучший         </w:t>
              <w:br/>
              <w:t xml:space="preserve">муниципальный район (городской округ) </w:t>
              <w:br/>
              <w:t xml:space="preserve">Тамбовской области по обеспечению     </w:t>
              <w:br/>
              <w:t xml:space="preserve">безопасности дорожного движения      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Повышение качества и эффективности работы по обеспечению БДД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ГО, ЧС, ОБ и МП администрации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3.3.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Проведение специальных   </w:t>
              <w:br/>
              <w:t xml:space="preserve">учений по тематике организации и      </w:t>
              <w:br/>
              <w:t xml:space="preserve">оказания медицинской помощи лицам,    </w:t>
              <w:br/>
              <w:t xml:space="preserve">пострадавшим в результате дорожно-    </w:t>
              <w:br/>
              <w:t xml:space="preserve">транспортных происшествий, во         </w:t>
              <w:br/>
              <w:t xml:space="preserve">взаимодействии с подразделениями и    </w:t>
              <w:br/>
              <w:t>формированиями МЧС России и МВД России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Повыше-ние оператив-ности взаимо-действия организа-ций и служб в снижении тяжести последст-вия ДТП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ГО, ЧС, ОБ и МП администрации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3.4.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Публикация в городских СМИ материалов  по обучению     </w:t>
              <w:br/>
              <w:t>населения правилам дорожного движения,</w:t>
              <w:br/>
              <w:t xml:space="preserve">методам оказания первой помощи        </w:t>
              <w:br/>
              <w:t xml:space="preserve">пострадавшим в ДТП и разъяснению      </w:t>
              <w:br/>
              <w:t xml:space="preserve">правовых вопросов в сфере обеспечения </w:t>
              <w:br/>
              <w:t xml:space="preserve">безопасности дорожного движения, изготовление листовок, буклетов    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Повыше-ние информи-рованнос-ти населения о ПДД, разъяс-нение правовых вопросов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ГО, ЧС, ОБ и МП администрации города,</w:t>
            </w:r>
          </w:p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организационно-правовой и кадровой работы администрации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3.5.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Проведение городских, участие в      </w:t>
              <w:br/>
              <w:t xml:space="preserve">областных  мероприятиях по         </w:t>
              <w:br/>
              <w:t xml:space="preserve">профилактике детского дорожно-        </w:t>
              <w:br/>
              <w:t xml:space="preserve">транспортного травматизма   (конкурс «Безопасное колесо»)         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Занятие призовых мест в конкурсе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3.6.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Проведение в период летнего отдыха в  городских оздоровительных лагерях профильной смены "Юные автолюбители», «Мы – пешеходы»  и др. </w:t>
            </w:r>
          </w:p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Повыше-ние знаний по ПДД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города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3.7.</w:t>
            </w:r>
          </w:p>
        </w:tc>
        <w:tc>
          <w:tcPr>
            <w:tcW w:type="dxa" w:w="1593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Нанесение горизонтальной дорожной     </w:t>
              <w:br/>
              <w:t xml:space="preserve">разметки     (за счет средств на благоустройство)                        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3600,0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Снижение количест-ва ДТП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МКУ «КУГХ»</w:t>
            </w:r>
          </w:p>
        </w:tc>
      </w:tr>
      <w:tr>
        <w:trPr>
          <w:cantSplit w:val="false"/>
        </w:trPr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Област-ной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375,0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МКУ «КУГХ»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3.8.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Замена дорожных знаков  и установка ограждений на пешеходных переходах.           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3261,0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448,0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413,0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Снижение количест-ва ДТП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МКУ «КУГХ»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3.9.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Планирование обочин в черте города (за счет средств по текущему содержанию дорог)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Недопущение ДТП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МКУ «КУГХ»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3.10.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Устройство остановочных площадок.                  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Внебюд-жетные средства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Недопущение ДТП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МКУ «КУГХ»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3.11.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Ремонт тротуаров (за счет средств на благоустройство)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Недопущение ДТП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МКУ «КУГХ»</w:t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ИТОГО по подрограмме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12144,0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1543,0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1525,0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1612,0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1732,0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1835,0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1890,0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2007,0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городской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10119,0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1293,0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1275,0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1362,0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1427,0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1530,0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1585,0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1647,0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Област-ной бюджет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375,0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3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type="dxa" w:w="15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148"/>
          <w:cantSplit w:val="false"/>
        </w:trPr>
        <w:tc>
          <w:tcPr>
            <w:tcW w:type="dxa" w:w="1593"/>
            <w:tcBorders>
              <w:left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3"/>
              <w:ind w:hanging="0" w:left="720" w:right="0"/>
              <w:jc w:val="center"/>
            </w:pPr>
            <w:r>
              <w:rPr>
                <w:rFonts w:ascii="Times New Roman" w:cs="Times New Roman" w:eastAsia="Times New Roman" w:hAnsi="Times New Roman"/>
                <w:b/>
              </w:rPr>
              <w:t xml:space="preserve">4.Подпрограмма «Снижение рисков и смягчение последствий чрезвычайных ситуаций природного и техногенного </w:t>
            </w:r>
          </w:p>
          <w:p>
            <w:pPr>
              <w:pStyle w:val="style33"/>
              <w:ind w:hanging="0" w:left="720" w:right="0"/>
              <w:jc w:val="center"/>
            </w:pPr>
            <w:r>
              <w:rPr>
                <w:rFonts w:ascii="Times New Roman" w:cs="Times New Roman" w:eastAsia="Times New Roman" w:hAnsi="Times New Roman"/>
                <w:b/>
              </w:rPr>
              <w:t>характера,  развитие объединенной  единой дежурно-диспетчерской службы г. Рассказово и Рассказовского района, профилактика и предупреждение несчастных случаев на воде и обеспечение безопасности людей на водных объектах» на 2014-2020 гг.</w:t>
            </w:r>
            <w:r>
              <w:rPr>
                <w:rFonts w:ascii="Times New Roman" w:cs="Times New Roman" w:eastAsia="Times New Roman" w:hAnsi="Times New Roman"/>
              </w:rPr>
              <w:t xml:space="preserve"> </w:t>
            </w:r>
          </w:p>
        </w:tc>
        <w:tc>
          <w:tcPr>
            <w:tcW w:type="dxa" w:w="1593"/>
            <w:gridSpan w:val="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148"/>
          <w:cantSplit w:val="false"/>
        </w:trPr>
        <w:tc>
          <w:tcPr>
            <w:tcW w:type="dxa" w:w="1593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593"/>
            <w:gridSpan w:val="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0"/>
              <w:widowControl/>
              <w:ind w:hanging="0" w:left="0" w:right="0"/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</w:tr>
    </w:tbl>
    <w:p>
      <w:pPr>
        <w:pStyle w:val="style0"/>
      </w:pPr>
      <w:r>
        <w:rPr>
          <w:rFonts w:ascii="Times New Roman" w:hAnsi="Times New Roman"/>
          <w:vanish/>
          <w:sz w:val="24"/>
          <w:szCs w:val="24"/>
        </w:rPr>
      </w:r>
    </w:p>
    <w:p>
      <w:pPr>
        <w:pStyle w:val="style0"/>
      </w:pPr>
      <w:r>
        <w:rPr>
          <w:rFonts w:ascii="Times New Roman" w:hAnsi="Times New Roman"/>
          <w:vanish/>
          <w:sz w:val="24"/>
          <w:szCs w:val="24"/>
        </w:rPr>
      </w:r>
    </w:p>
    <w:p>
      <w:pPr>
        <w:pStyle w:val="style0"/>
      </w:pPr>
      <w:r>
        <w:rPr>
          <w:rFonts w:ascii="Times New Roman" w:hAnsi="Times New Roman"/>
          <w:vanish/>
          <w:sz w:val="24"/>
          <w:szCs w:val="24"/>
        </w:rPr>
      </w:r>
    </w:p>
    <w:tbl>
      <w:tblPr>
        <w:jc w:val="left"/>
        <w:tblBorders>
          <w:top w:color="000001" w:space="0" w:sz="2" w:val="single"/>
          <w:left w:color="000001" w:space="0" w:sz="2" w:val="single"/>
          <w:bottom w:color="000001" w:space="0" w:sz="2" w:val="single"/>
          <w:right w:color="000001" w:space="0" w:sz="2" w:val="single"/>
        </w:tblBorders>
      </w:tblPr>
      <w:tblGrid>
        <w:gridCol w:w="1188"/>
        <w:gridCol w:w="1189"/>
        <w:gridCol w:w="1188"/>
        <w:gridCol w:w="1189"/>
        <w:gridCol w:w="1188"/>
        <w:gridCol w:w="1189"/>
        <w:gridCol w:w="1188"/>
        <w:gridCol w:w="1189"/>
        <w:gridCol w:w="1188"/>
        <w:gridCol w:w="1189"/>
        <w:gridCol w:w="1188"/>
        <w:gridCol w:w="1189"/>
        <w:gridCol w:w="1188"/>
      </w:tblGrid>
      <w:tr>
        <w:trPr>
          <w:trHeight w:hRule="atLeast" w:val="148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tabs>
                <w:tab w:leader="none" w:pos="35" w:val="left"/>
              </w:tabs>
              <w:ind w:hanging="0" w:left="0" w:right="451"/>
              <w:jc w:val="center"/>
            </w:pPr>
            <w:r>
              <w:rPr>
                <w:rFonts w:ascii="Times New Roman" w:cs="Times New Roman" w:eastAsia="Times New Roman" w:hAnsi="Times New Roman"/>
              </w:rPr>
              <w:t>4.1.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Развитие единой дежурно-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диспетчерской службы (далее ЕДДС).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 xml:space="preserve"> </w:t>
            </w:r>
            <w:r>
              <w:rPr>
                <w:rFonts w:ascii="Times New Roman" w:cs="Times New Roman" w:hAnsi="Times New Roman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344,59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158,59</w:t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8,0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26,0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26,0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42,0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34,0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50,0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Повышение оператив-ности реагиро-вания при угрозе и вознкно-вении ЧС</w:t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 xml:space="preserve">Отдел ГО, ЧС, ОБ и МП  администрации города, Муниципальное казенное учреждение «Комитет по управлению городским хозяйством» 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МКУ «КУГХ»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</w:tc>
      </w:tr>
      <w:tr>
        <w:trPr>
          <w:trHeight w:hRule="atLeast" w:val="148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4.1.1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Приобретение и обновление компьютерной техники.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75,53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6,53</w:t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12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14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14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14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15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МКУ «КУГХ»</w:t>
            </w:r>
          </w:p>
        </w:tc>
      </w:tr>
      <w:tr>
        <w:trPr>
          <w:trHeight w:hRule="atLeast" w:val="148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4.1.2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 xml:space="preserve">Развитие средств связи 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  <w:lang w:bidi="hi-IN" w:eastAsia="hi-I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48,55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1,55</w:t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3,0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6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8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8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10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rFonts w:ascii="Times New Roman" w:eastAsia="Courier New" w:hAnsi="Times New Roman"/>
                <w:sz w:val="24"/>
                <w:szCs w:val="24"/>
                <w:lang w:bidi="hi-IN" w:eastAsia="hi-IN"/>
              </w:rPr>
              <w:t>12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rFonts w:ascii="Times New Roman" w:eastAsia="Courier New" w:hAnsi="Times New Roman"/>
                <w:sz w:val="24"/>
                <w:szCs w:val="24"/>
                <w:lang w:bidi="hi-IN" w:eastAsia="hi-I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МКУ «КУГХ»</w:t>
            </w:r>
          </w:p>
        </w:tc>
      </w:tr>
      <w:tr>
        <w:trPr>
          <w:trHeight w:hRule="atLeast" w:val="1009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4.1..3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Оперативно-техническая документация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15,0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0</w:t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3,0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3,0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Отдел ГО, ЧС, ОБ и МП администрации города, МКУ «КУГХ»</w:t>
            </w:r>
          </w:p>
        </w:tc>
      </w:tr>
      <w:tr>
        <w:trPr>
          <w:trHeight w:hRule="atLeast" w:val="1009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4.1.4.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Ремонт и расширение помещения ЕДДС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136,28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116,28</w:t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0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10,0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МКУ «КУГХ»</w:t>
            </w:r>
          </w:p>
        </w:tc>
      </w:tr>
      <w:tr>
        <w:trPr>
          <w:trHeight w:hRule="atLeast" w:val="148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4.1.5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 xml:space="preserve">Мебель, бытовая техника 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72,83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33,83</w:t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5,0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5,0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7,0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7,0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10,0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МКУ «КУГХ»</w:t>
            </w:r>
          </w:p>
        </w:tc>
      </w:tr>
      <w:tr>
        <w:trPr>
          <w:trHeight w:hRule="atLeast" w:val="148"/>
          <w:cantSplit w:val="false"/>
        </w:trPr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4.2.</w:t>
            </w:r>
          </w:p>
        </w:tc>
        <w:tc>
          <w:tcPr>
            <w:tcW w:type="dxa" w:w="1189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Развитие оперативных групп администрации города.</w:t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130,7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52,7</w:t>
            </w:r>
          </w:p>
        </w:tc>
        <w:tc>
          <w:tcPr>
            <w:tcW w:type="dxa" w:w="1189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8,0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12,0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12,0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15,0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15,0</w:t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16,0</w:t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Отдел ГО, ЧС,  ОБ и МП администрации города,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МКУ «КУГХ»</w:t>
            </w:r>
          </w:p>
        </w:tc>
      </w:tr>
      <w:tr>
        <w:trPr>
          <w:trHeight w:hRule="atLeast" w:val="1014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4.2.1.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 xml:space="preserve">Оснащение оперативных групп техническими средствами. 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49,62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2,62</w:t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3,0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7,0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7,0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10,0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10,0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rFonts w:ascii="Times New Roman" w:eastAsia="Courier New" w:hAnsi="Times New Roman"/>
                <w:sz w:val="24"/>
                <w:szCs w:val="24"/>
                <w:lang w:bidi="hi-IN" w:eastAsia="hi-IN"/>
              </w:rPr>
              <w:t>10,0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rFonts w:ascii="Times New Roman" w:eastAsia="Courier New" w:hAnsi="Times New Roman"/>
                <w:sz w:val="24"/>
                <w:szCs w:val="24"/>
                <w:lang w:bidi="hi-IN" w:eastAsia="hi-I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Отдел ГО, ЧС, ОБ и МП администрации города,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МКУ «КУГХ»</w:t>
            </w:r>
          </w:p>
        </w:tc>
      </w:tr>
      <w:tr>
        <w:trPr>
          <w:trHeight w:hRule="atLeast" w:val="1769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4.2.2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 xml:space="preserve">Приобретение оргтехники и имущества для обеспечения деятельности комиссии по предупреждению и ликвидации чрезвычайных ситуаций и обеспечению пожарной безопасности города 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81,08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50,0</w:t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5,0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5,0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5,0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rFonts w:ascii="Times New Roman" w:eastAsia="Courier New" w:hAnsi="Times New Roman"/>
                <w:sz w:val="24"/>
                <w:szCs w:val="24"/>
                <w:lang w:bidi="hi-IN" w:eastAsia="hi-IN"/>
              </w:rPr>
              <w:t>6,0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rFonts w:ascii="Times New Roman" w:eastAsia="Courier New" w:hAnsi="Times New Roman"/>
                <w:sz w:val="24"/>
                <w:szCs w:val="24"/>
                <w:lang w:bidi="hi-IN" w:eastAsia="hi-I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МКУ «КУГХ»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</w:tc>
      </w:tr>
      <w:tr>
        <w:trPr>
          <w:trHeight w:hRule="atLeast" w:val="148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4.3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Изготовление и распространение плакатов, аншлагов, памяток для населения города по способам защиты от ЧС мирного и военного времени.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Городской бюджет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внебюджетные средства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34,0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5,0</w:t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3,0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5,0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6,0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6,0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7,0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7,0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Недопуще-ние гибели населения при ЧС</w:t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Отдел ГО, ЧС, ОБ и МП администрации города.</w:t>
            </w:r>
          </w:p>
        </w:tc>
      </w:tr>
      <w:tr>
        <w:trPr>
          <w:trHeight w:hRule="atLeast" w:val="1068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4.4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 xml:space="preserve">Обустройство пляжей и мест  традиционного отдыха населения на воде. 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1496,96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206,96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200,0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210,0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217,0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217,0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223,0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223,0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Недопуще-ние гибели людей на воде</w:t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Отдел ГО, ЧС, ОБ и МП администрации города</w:t>
            </w:r>
          </w:p>
        </w:tc>
      </w:tr>
      <w:tr>
        <w:trPr>
          <w:trHeight w:hRule="atLeast" w:val="618"/>
          <w:cantSplit w:val="false"/>
        </w:trPr>
        <w:tc>
          <w:tcPr>
            <w:tcW w:type="dxa" w:w="1188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 xml:space="preserve">4.4.1. </w:t>
            </w:r>
          </w:p>
        </w:tc>
        <w:tc>
          <w:tcPr>
            <w:tcW w:type="dxa" w:w="1189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 xml:space="preserve">-Ремонт оборудования и завоз песка на пляжи. </w:t>
            </w:r>
          </w:p>
        </w:tc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251,82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39,82</w:t>
            </w:r>
          </w:p>
        </w:tc>
        <w:tc>
          <w:tcPr>
            <w:tcW w:type="dxa" w:w="118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32,0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30,0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35,0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35,0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40,0</w:t>
            </w:r>
          </w:p>
        </w:tc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40,0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МКУ «КУГХ»</w:t>
            </w:r>
          </w:p>
        </w:tc>
      </w:tr>
      <w:tr>
        <w:trPr>
          <w:trHeight w:hRule="atLeast" w:val="621"/>
          <w:cantSplit w:val="false"/>
        </w:trPr>
        <w:tc>
          <w:tcPr>
            <w:tcW w:type="dxa" w:w="1188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 xml:space="preserve">4.4.2. </w:t>
            </w:r>
          </w:p>
        </w:tc>
        <w:tc>
          <w:tcPr>
            <w:tcW w:type="dxa" w:w="1189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 xml:space="preserve">Оплата труда матросов-спасателей 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1165,1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157,14</w:t>
            </w:r>
          </w:p>
        </w:tc>
        <w:tc>
          <w:tcPr>
            <w:tcW w:type="dxa" w:w="118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158,0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170,0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170,0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170,0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170,0</w:t>
            </w:r>
          </w:p>
        </w:tc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170,0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Отдел бухгалтерского учета и отчетности администрации города</w:t>
            </w:r>
          </w:p>
        </w:tc>
      </w:tr>
      <w:tr>
        <w:trPr>
          <w:trHeight w:hRule="atLeast" w:val="1020"/>
          <w:cantSplit w:val="false"/>
        </w:trPr>
        <w:tc>
          <w:tcPr>
            <w:tcW w:type="dxa" w:w="1188"/>
            <w:tcBorders>
              <w:top w:color="00000A" w:space="0" w:sz="4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 xml:space="preserve">4.4.3. </w:t>
            </w:r>
          </w:p>
        </w:tc>
        <w:tc>
          <w:tcPr>
            <w:tcW w:type="dxa" w:w="1189"/>
            <w:tcBorders>
              <w:top w:color="00000A" w:space="0" w:sz="4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Оборудование купален на Крещение.</w:t>
            </w:r>
          </w:p>
        </w:tc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80,0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10,0</w:t>
            </w:r>
          </w:p>
        </w:tc>
        <w:tc>
          <w:tcPr>
            <w:tcW w:type="dxa" w:w="1189"/>
            <w:tcBorders>
              <w:top w:color="00000A" w:space="0" w:sz="4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10,0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10,0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12,0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12,0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13,0</w:t>
            </w:r>
          </w:p>
        </w:tc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13,0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A" w:space="0" w:sz="4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МКУ «КУГХ»</w:t>
            </w:r>
          </w:p>
        </w:tc>
      </w:tr>
      <w:tr>
        <w:trPr>
          <w:trHeight w:hRule="atLeast" w:val="148"/>
          <w:cantSplit w:val="false"/>
        </w:trPr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4.5</w:t>
            </w:r>
          </w:p>
        </w:tc>
        <w:tc>
          <w:tcPr>
            <w:tcW w:type="dxa" w:w="1189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Разработка, изготовление и распространение печатной продукции по правилам безопасного поведения на воде (плакаты, памятки, буклеты, электронные диски).</w:t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22,0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0</w:t>
            </w:r>
          </w:p>
        </w:tc>
        <w:tc>
          <w:tcPr>
            <w:tcW w:type="dxa" w:w="1189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3,0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3,0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4,0</w:t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5,0</w:t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Недопуще-ние гибели людей на воде</w:t>
            </w:r>
          </w:p>
        </w:tc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Отдел ГО, ЧС. ОБ и МП администрации города.</w:t>
            </w:r>
          </w:p>
        </w:tc>
      </w:tr>
      <w:tr>
        <w:trPr>
          <w:trHeight w:hRule="atLeast" w:val="148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4.6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Изготовление и установка аншлагов в местах купания.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eastAsia="Times New Roman" w:hAnsi="Times New Roman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20,0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2,0</w:t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2,0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eastAsia="Times New Roman" w:hAnsi="Times New Roman"/>
              </w:rPr>
              <w:t>2,0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4,0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Недопуще-ние гибели людей на воде</w:t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Отдел ГО, ЧС, ОБ и МП администрации города</w:t>
            </w:r>
          </w:p>
        </w:tc>
      </w:tr>
      <w:tr>
        <w:trPr>
          <w:trHeight w:hRule="atLeast" w:val="148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4.7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Подготовка пунктов временного размещения населения в случае возникновения чрезвычайных ситуаций природного и техногенного характера.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85,0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18,0</w:t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10,0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12,0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12,0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14,0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14,0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Комфорт-ное проживание отселенных граждан</w:t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Отдел ГО, ЧС, ОБ и МП администрации города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</w:tc>
      </w:tr>
      <w:tr>
        <w:trPr>
          <w:trHeight w:hRule="atLeast" w:val="1705"/>
          <w:cantSplit w:val="false"/>
        </w:trPr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4.8</w:t>
            </w:r>
          </w:p>
        </w:tc>
        <w:tc>
          <w:tcPr>
            <w:tcW w:type="dxa" w:w="1189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Организация первоочередного жизнеобеспечения эвакуированного населения (питание, оказание медицинской помощи, обеспечение предметами первой необходимости).</w:t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 xml:space="preserve">Городской 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бюджет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470,0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170,0</w:t>
            </w:r>
          </w:p>
        </w:tc>
        <w:tc>
          <w:tcPr>
            <w:tcW w:type="dxa" w:w="1189"/>
            <w:tcBorders>
              <w:top w:color="00000A" w:space="0" w:sz="4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30,0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50,0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50,0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55,0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55,0</w:t>
            </w:r>
          </w:p>
        </w:tc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60,0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Недопуще-ние заболевания и гибели населения</w:t>
            </w:r>
          </w:p>
        </w:tc>
        <w:tc>
          <w:tcPr>
            <w:tcW w:type="dxa" w:w="1188"/>
            <w:tcBorders>
              <w:top w:color="00000A" w:space="0" w:sz="4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 xml:space="preserve">Отделы ГО, ЧС, ОБ и МП, торговли, сферы услуг и защиты прав потребителей администрации города, 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4.9</w:t>
            </w:r>
          </w:p>
        </w:tc>
        <w:tc>
          <w:tcPr>
            <w:tcW w:type="dxa" w:w="1189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Изготовление памяток для эвакуируемого населения</w:t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16,0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0</w:t>
            </w:r>
          </w:p>
        </w:tc>
        <w:tc>
          <w:tcPr>
            <w:tcW w:type="dxa" w:w="1189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2,0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2,0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2,0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3,0</w:t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3,0</w:t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4,0</w:t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Снижение потерь при эвакуации</w:t>
            </w:r>
          </w:p>
        </w:tc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Отдел ГО, ЧС, ОБ и МП администрации города</w:t>
            </w:r>
          </w:p>
        </w:tc>
      </w:tr>
      <w:tr>
        <w:trPr>
          <w:trHeight w:hRule="atLeast" w:val="148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4.10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Организация проведения пожарно-тактических занятий в учреждениях образования, здравоохранения, культуры и детских оздоровительных лагерях с привлечением служб жизнеобеспечения.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Снижение количества пожаров, недопуще-ние гибели людей</w:t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bookmarkStart w:id="0" w:name="__DdeLink__5_260122664"/>
            <w:r>
              <w:rPr>
                <w:rFonts w:ascii="Times New Roman" w:cs="Times New Roman" w:hAnsi="Times New Roman"/>
              </w:rPr>
              <w:t xml:space="preserve">Отделы ГО,ЧС,ОБ и МП, образования,  по делам несовершеннолетних </w:t>
            </w:r>
          </w:p>
          <w:p>
            <w:pPr>
              <w:pStyle w:val="style33"/>
              <w:jc w:val="both"/>
            </w:pPr>
            <w:bookmarkStart w:id="1" w:name="__DdeLink__5_260122664"/>
            <w:r>
              <w:rPr>
                <w:rFonts w:ascii="Times New Roman" w:cs="Times New Roman" w:hAnsi="Times New Roman"/>
              </w:rPr>
              <w:t>и защите их прав, по делам культуры, спорта и вопросам молодежной политики администрации города, Тамбовское областное государственное бюджетное учреждение здравоохранения «Рассказовская центральная районная больница»</w:t>
            </w:r>
            <w:bookmarkEnd w:id="1"/>
            <w:r>
              <w:rPr>
                <w:rFonts w:ascii="Times New Roman" w:cs="Times New Roman" w:hAnsi="Times New Roman"/>
              </w:rPr>
              <w:t xml:space="preserve">  (Далее ТОГ БУЗ «Рассказовская ЦРБ»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</w:tc>
      </w:tr>
      <w:tr>
        <w:trPr>
          <w:trHeight w:hRule="atLeast" w:val="1460"/>
          <w:cantSplit w:val="false"/>
        </w:trPr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4.11</w:t>
            </w:r>
          </w:p>
        </w:tc>
        <w:tc>
          <w:tcPr>
            <w:tcW w:type="dxa" w:w="1189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Организация в СМИ постоянного информирования населения о номерах телефонов, по которым необходимо обращаться в случае возникновения чрезвычайной ситуации.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9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Недопуще-ние гибели людей при возникновении ЧС и сокращение времени ликвидации ЧС</w:t>
            </w:r>
          </w:p>
        </w:tc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Отдел ГО, ЧС, ОБ и МП администрации города, редакция  газеты «Трудовая новь»</w:t>
            </w:r>
          </w:p>
        </w:tc>
      </w:tr>
      <w:tr>
        <w:trPr>
          <w:trHeight w:hRule="atLeast" w:val="398"/>
          <w:cantSplit w:val="false"/>
        </w:trPr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4.12</w:t>
            </w:r>
          </w:p>
        </w:tc>
        <w:tc>
          <w:tcPr>
            <w:tcW w:type="dxa" w:w="1189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 xml:space="preserve">Реализация комплекса мер по содержанию и безаварийной эксплуатации гидротехнических сооружений, расположенных на территории города. </w:t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1220,35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200,35</w:t>
            </w:r>
          </w:p>
        </w:tc>
        <w:tc>
          <w:tcPr>
            <w:tcW w:type="dxa" w:w="1189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120,0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170,0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170,0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180,0</w:t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180,0</w:t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200,0</w:t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Недопуще-ние возникновения ЧС</w:t>
            </w:r>
          </w:p>
        </w:tc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МКУ «КУГХ», отдел ГО, ЧС, ОБ и МП администрации города</w:t>
            </w:r>
          </w:p>
        </w:tc>
      </w:tr>
      <w:tr>
        <w:trPr>
          <w:trHeight w:hRule="atLeast" w:val="398"/>
          <w:cantSplit w:val="false"/>
        </w:trPr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4.13</w:t>
            </w:r>
          </w:p>
        </w:tc>
        <w:tc>
          <w:tcPr>
            <w:tcW w:type="dxa" w:w="1189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Реализация комплекса мер, связанных с расчисткой русла рек Лесной Тамбов и Арженка в границах города Рассказово.</w:t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785,68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535,68</w:t>
            </w:r>
          </w:p>
        </w:tc>
        <w:tc>
          <w:tcPr>
            <w:tcW w:type="dxa" w:w="1189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100,0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50,0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50,0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50,0</w:t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50,0</w:t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50,0</w:t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Недопу-щение подтопле-ния территорий</w:t>
            </w:r>
          </w:p>
        </w:tc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МКУ «КУГХ», отдел ГО, ЧС, ОБ и МП администрации города</w:t>
            </w:r>
          </w:p>
        </w:tc>
      </w:tr>
      <w:tr>
        <w:trPr>
          <w:trHeight w:hRule="atLeast" w:val="902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4.14.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Приобретение первичных средств пожаротушения для здания администрации города.</w:t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ind w:hanging="0" w:left="135" w:right="0"/>
              <w:jc w:val="center"/>
            </w:pPr>
            <w:r>
              <w:rPr>
                <w:rFonts w:ascii="Times New Roman" w:cs="Times New Roman" w:hAnsi="Times New Roman"/>
              </w:rPr>
              <w:t>34,0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0</w:t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6,0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6,0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7,0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7,0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8,0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Обеспече-ние пожарной безопанос-ти</w:t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</w:pPr>
            <w:r>
              <w:rPr>
                <w:rFonts w:ascii="Times New Roman" w:cs="Times New Roman" w:hAnsi="Times New Roman"/>
              </w:rPr>
              <w:t>МКУ «КУГХ»</w:t>
            </w:r>
          </w:p>
        </w:tc>
      </w:tr>
      <w:tr>
        <w:trPr>
          <w:trHeight w:hRule="atLeast" w:val="680"/>
          <w:cantSplit w:val="false"/>
        </w:trPr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4.15.</w:t>
            </w:r>
          </w:p>
        </w:tc>
        <w:tc>
          <w:tcPr>
            <w:tcW w:type="dxa" w:w="1189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Приобретение ранцевых огнетушителей для тушения возгораний в недоступных местах .</w:t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ind w:hanging="0" w:left="180" w:right="0"/>
              <w:jc w:val="center"/>
            </w:pPr>
            <w:r>
              <w:rPr>
                <w:rFonts w:ascii="Times New Roman" w:cs="Times New Roman" w:hAnsi="Times New Roman"/>
              </w:rPr>
              <w:t>13,5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0</w:t>
            </w:r>
          </w:p>
        </w:tc>
        <w:tc>
          <w:tcPr>
            <w:tcW w:type="dxa" w:w="1189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2,5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3,0</w:t>
            </w:r>
          </w:p>
        </w:tc>
        <w:tc>
          <w:tcPr>
            <w:tcW w:type="dxa" w:w="1188"/>
            <w:gridSpan w:val="2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3,0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0</w:t>
            </w:r>
          </w:p>
        </w:tc>
        <w:tc>
          <w:tcPr>
            <w:tcW w:type="dxa" w:w="1188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5,0</w:t>
            </w:r>
          </w:p>
        </w:tc>
        <w:tc>
          <w:tcPr>
            <w:tcW w:type="dxa" w:w="1189"/>
            <w:gridSpan w:val="2"/>
            <w:tcBorders>
              <w:top w:color="000001" w:space="0" w:sz="2" w:val="single"/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Повышение оператив-ности тушения</w:t>
            </w:r>
          </w:p>
        </w:tc>
        <w:tc>
          <w:tcPr>
            <w:tcW w:type="dxa" w:w="118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</w:pPr>
            <w:r>
              <w:rPr>
                <w:rFonts w:ascii="Times New Roman" w:cs="Times New Roman" w:hAnsi="Times New Roman"/>
              </w:rPr>
              <w:t>Отдел ГО, ЧС, ОБ и МП администрации города</w:t>
            </w:r>
          </w:p>
        </w:tc>
      </w:tr>
      <w:tr>
        <w:trPr>
          <w:trHeight w:hRule="atLeast" w:val="2243"/>
          <w:cantSplit w:val="false"/>
        </w:trPr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4.16</w:t>
            </w:r>
          </w:p>
        </w:tc>
        <w:tc>
          <w:tcPr>
            <w:tcW w:type="dxa" w:w="1189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Style w:val="style22"/>
                <w:rFonts w:ascii="Times New Roman" w:cs="Times New Roman" w:hAnsi="Times New Roman"/>
              </w:rPr>
              <w:t>Обеспечение готовности источников противопожарного водоснабжения для забора воды (устройство подъездов, оборудование пирсов, специальных площадок, ремонт и оборудование гидрантов для забора   пожарными автомобилями).</w:t>
            </w:r>
          </w:p>
        </w:tc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ind w:hanging="0" w:left="150" w:right="0"/>
              <w:jc w:val="center"/>
            </w:pPr>
            <w:r>
              <w:rPr>
                <w:rFonts w:ascii="Times New Roman" w:cs="Times New Roman" w:hAnsi="Times New Roman"/>
              </w:rPr>
              <w:t>68,0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0</w:t>
            </w:r>
          </w:p>
        </w:tc>
        <w:tc>
          <w:tcPr>
            <w:tcW w:type="dxa" w:w="1189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10,0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12,0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12,0</w:t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14,0</w:t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15,0</w:t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Снижение количества пожаров и сокращение  времени на их ликвида-цию</w:t>
            </w:r>
          </w:p>
        </w:tc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</w:pPr>
            <w:r>
              <w:rPr>
                <w:rFonts w:ascii="Times New Roman" w:cs="Times New Roman" w:hAnsi="Times New Roman"/>
              </w:rPr>
              <w:t>МКУ «КУГХ», отдел ГО, ЧС, ОБ и МП администрации города</w:t>
            </w:r>
          </w:p>
        </w:tc>
      </w:tr>
      <w:tr>
        <w:trPr>
          <w:trHeight w:hRule="atLeast" w:val="100"/>
          <w:cantSplit w:val="false"/>
        </w:trPr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4.17.</w:t>
            </w:r>
          </w:p>
        </w:tc>
        <w:tc>
          <w:tcPr>
            <w:tcW w:type="dxa" w:w="1189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>Оказание методической помощи руководителям организаций, предприятий и учреждений города по вопросам подготовки к пожароопасному периоду  и обеспечению пожарной безопасности.</w:t>
            </w:r>
          </w:p>
        </w:tc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bookmarkStart w:id="2" w:name="_GoBack"/>
            <w:bookmarkEnd w:id="2"/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9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Снижение количества пожаров</w:t>
            </w:r>
          </w:p>
        </w:tc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</w:pPr>
            <w:r>
              <w:rPr>
                <w:rFonts w:ascii="Times New Roman" w:cs="Times New Roman" w:hAnsi="Times New Roman"/>
              </w:rPr>
              <w:t>Отдел ГО, ЧС, ОБ и МП администрации города</w:t>
            </w:r>
          </w:p>
        </w:tc>
      </w:tr>
      <w:tr>
        <w:trPr>
          <w:trHeight w:hRule="atLeast" w:val="1770"/>
          <w:cantSplit w:val="false"/>
        </w:trPr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4.18.</w:t>
            </w:r>
          </w:p>
        </w:tc>
        <w:tc>
          <w:tcPr>
            <w:tcW w:type="dxa" w:w="1189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Style w:val="style22"/>
                <w:rFonts w:ascii="Times New Roman" w:cs="Times New Roman" w:hAnsi="Times New Roman"/>
              </w:rPr>
              <w:t>Организация обучения населения первичным мерам пожарной безопасности и действиям в случае возникновения пожара.</w:t>
            </w:r>
          </w:p>
        </w:tc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9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9"/>
            <w:gridSpan w:val="2"/>
            <w:tcBorders>
              <w:left w:color="000001" w:space="0" w:sz="2" w:val="single"/>
              <w:bottom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8"/>
            <w:gridSpan w:val="2"/>
            <w:tcBorders>
              <w:left w:color="000001" w:space="0" w:sz="2" w:val="single"/>
              <w:bottom w:color="000001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left w:color="00000A" w:space="0" w:sz="4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Снижение количества пожаров и недопущение гибели людей</w:t>
            </w:r>
          </w:p>
        </w:tc>
        <w:tc>
          <w:tcPr>
            <w:tcW w:type="dxa" w:w="1188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</w:pPr>
            <w:r>
              <w:rPr>
                <w:rFonts w:ascii="Times New Roman" w:cs="Times New Roman" w:hAnsi="Times New Roman"/>
              </w:rPr>
              <w:t xml:space="preserve">Отдел ГО, ЧС, ОБ и МП администрации города. </w:t>
            </w:r>
          </w:p>
        </w:tc>
      </w:tr>
      <w:tr>
        <w:trPr>
          <w:trHeight w:hRule="atLeast" w:val="4290"/>
          <w:cantSplit w:val="false"/>
        </w:trPr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4.19.</w:t>
            </w:r>
          </w:p>
        </w:tc>
        <w:tc>
          <w:tcPr>
            <w:tcW w:type="dxa" w:w="1189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 xml:space="preserve">Организация обучения работников учреждений образования, здравоохранения и культуры мерам пожарной безопасности и действиям в случае возникновения пожара. </w:t>
            </w:r>
          </w:p>
        </w:tc>
        <w:tc>
          <w:tcPr>
            <w:tcW w:type="dxa" w:w="1188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rFonts w:ascii="Times New Roman" w:eastAsia="Courier New" w:hAnsi="Times New Roman"/>
                <w:sz w:val="24"/>
                <w:szCs w:val="24"/>
                <w:lang w:bidi="hi-IN" w:eastAsia="hi-IN"/>
              </w:rPr>
            </w:r>
          </w:p>
          <w:p>
            <w:pPr>
              <w:pStyle w:val="style0"/>
            </w:pPr>
            <w:r>
              <w:rPr>
                <w:rFonts w:ascii="Times New Roman" w:eastAsia="Courier New" w:hAnsi="Times New Roman"/>
                <w:sz w:val="24"/>
                <w:szCs w:val="24"/>
                <w:lang w:bidi="hi-IN" w:eastAsia="hi-I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-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  <w:lang w:val="en-US"/>
              </w:rPr>
            </w:r>
          </w:p>
        </w:tc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rFonts w:ascii="Times New Roman" w:eastAsia="Courier New" w:hAnsi="Times New Roman"/>
                <w:sz w:val="24"/>
                <w:szCs w:val="24"/>
                <w:lang w:bidi="hi-IN" w:eastAsia="hi-IN"/>
              </w:rPr>
            </w:r>
          </w:p>
          <w:p>
            <w:pPr>
              <w:pStyle w:val="style0"/>
            </w:pPr>
            <w:r>
              <w:rPr>
                <w:rFonts w:ascii="Times New Roman" w:eastAsia="Courier New" w:hAnsi="Times New Roman"/>
                <w:sz w:val="24"/>
                <w:szCs w:val="24"/>
                <w:lang w:bidi="hi-IN" w:eastAsia="hi-IN"/>
              </w:rPr>
            </w:r>
          </w:p>
          <w:p>
            <w:pPr>
              <w:pStyle w:val="style0"/>
            </w:pPr>
            <w:r>
              <w:rPr>
                <w:rFonts w:ascii="Times New Roman" w:eastAsia="Courier New" w:hAnsi="Times New Roman"/>
                <w:sz w:val="24"/>
                <w:szCs w:val="24"/>
                <w:lang w:bidi="hi-IN" w:eastAsia="hi-IN"/>
              </w:rPr>
            </w:r>
          </w:p>
          <w:p>
            <w:pPr>
              <w:pStyle w:val="style0"/>
            </w:pPr>
            <w:r>
              <w:rPr>
                <w:rFonts w:ascii="Times New Roman" w:eastAsia="Courier New" w:hAnsi="Times New Roman"/>
                <w:sz w:val="24"/>
                <w:szCs w:val="24"/>
                <w:lang w:bidi="hi-IN" w:eastAsia="hi-IN"/>
              </w:rPr>
            </w:r>
          </w:p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Снижение количества пожаров и недопущение гибели людей</w:t>
            </w:r>
          </w:p>
        </w:tc>
        <w:tc>
          <w:tcPr>
            <w:tcW w:type="dxa" w:w="1188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  <w:t xml:space="preserve">Отделы ГО,ЧС,ОБ и МП, образования, по  делам несовершеннолетних и защите их прав, по делам культуры, спорта и вопросам молодежной политики администрации города, ТОГ БУЗ «Рассказовская ЦРБ» </w:t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</w:tc>
      </w:tr>
      <w:tr>
        <w:trPr>
          <w:trHeight w:hRule="atLeast" w:val="2325"/>
          <w:cantSplit w:val="false"/>
        </w:trPr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9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ИТОГО по подпрограмме: </w:t>
            </w:r>
          </w:p>
        </w:tc>
        <w:tc>
          <w:tcPr>
            <w:tcW w:type="dxa" w:w="1188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Городской бюджет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4930,7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1350,2</w:t>
            </w:r>
          </w:p>
        </w:tc>
        <w:tc>
          <w:tcPr>
            <w:tcW w:type="dxa" w:w="118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490,5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564,0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600,0</w:t>
            </w:r>
          </w:p>
        </w:tc>
        <w:tc>
          <w:tcPr>
            <w:tcW w:type="dxa" w:w="1188"/>
            <w:gridSpan w:val="2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620,0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632,0</w:t>
            </w:r>
          </w:p>
        </w:tc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  <w:t>674,0</w:t>
            </w:r>
          </w:p>
        </w:tc>
        <w:tc>
          <w:tcPr>
            <w:tcW w:type="dxa" w:w="118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center"/>
            </w:pPr>
            <w:r>
              <w:rPr>
                <w:rFonts w:ascii="Times New Roman" w:cs="Times New Roman" w:hAnsi="Times New Roman"/>
              </w:rPr>
            </w:r>
          </w:p>
        </w:tc>
        <w:tc>
          <w:tcPr>
            <w:tcW w:type="dxa" w:w="1188"/>
            <w:tcBorders>
              <w:top w:color="00000A" w:space="0" w:sz="4" w:val="single"/>
              <w:left w:color="000001" w:space="0" w:sz="2" w:val="single"/>
              <w:bottom w:color="00000A" w:space="0" w:sz="4" w:val="single"/>
              <w:right w:color="000001" w:space="0" w:sz="2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  <w:p>
            <w:pPr>
              <w:pStyle w:val="style33"/>
              <w:jc w:val="both"/>
            </w:pPr>
            <w:r>
              <w:rPr>
                <w:rFonts w:ascii="Times New Roman" w:cs="Times New Roman" w:hAnsi="Times New Roman"/>
              </w:rPr>
            </w:r>
          </w:p>
        </w:tc>
      </w:tr>
      <w:tr>
        <w:trPr>
          <w:cantSplit w:val="false"/>
        </w:trPr>
        <w:tc>
          <w:tcPr>
            <w:tcW w:type="dxa" w:w="1188"/>
            <w:gridSpan w:val="2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ind w:hanging="0" w:left="720" w:right="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5.Подпрограмма «Подготовка граждан к военной службе в городе Рассказово» на 2014-2020 годы</w:t>
            </w:r>
          </w:p>
        </w:tc>
      </w:tr>
      <w:tr>
        <w:trPr>
          <w:cantSplit w:val="false"/>
        </w:trPr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type="dxa" w:w="3061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Проведение профилактических осмотров юношей 15-16 лет. </w:t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финансируется в рамках средств, выделяемых на здравоохранение 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85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9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11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45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Сокраще-ние времени выявле-ния заболева-ний</w:t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образования администрации города </w:t>
            </w:r>
          </w:p>
        </w:tc>
      </w:tr>
      <w:tr>
        <w:trPr>
          <w:cantSplit w:val="false"/>
        </w:trPr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5.2.</w:t>
            </w:r>
          </w:p>
        </w:tc>
        <w:tc>
          <w:tcPr>
            <w:tcW w:type="dxa" w:w="3061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Диспансерное наблюдение юношей, имеющих хронические заболевания.</w:t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финансируется в рамках средств, выделяемых на здравоохранение 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85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9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11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45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Повыше-ние процента годности к службе в армии</w:t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образования администра-ции города </w:t>
            </w:r>
          </w:p>
        </w:tc>
      </w:tr>
      <w:tr>
        <w:trPr>
          <w:cantSplit w:val="false"/>
        </w:trPr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5.3.</w:t>
            </w:r>
          </w:p>
        </w:tc>
        <w:tc>
          <w:tcPr>
            <w:tcW w:type="dxa" w:w="3061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Проведение лечебно-оздоровительных мероприятий юношей 15-17 лет с отклонениями в состоянии здоровья. </w:t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финансируется в рамках средств, выделяемых на здравоохранение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85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9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11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45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Повыше-ние процента годности к службе в армии</w:t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Отдел образования администра-ции города</w:t>
            </w:r>
          </w:p>
        </w:tc>
      </w:tr>
      <w:tr>
        <w:trPr>
          <w:cantSplit w:val="false"/>
        </w:trPr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5.4.</w:t>
            </w:r>
          </w:p>
        </w:tc>
        <w:tc>
          <w:tcPr>
            <w:tcW w:type="dxa" w:w="3061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спортивных соревнований среди допризывной молодежи по военно-прикладным видам спорта. </w:t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type="dxa" w:w="83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type="dxa" w:w="10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type="dxa" w:w="11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type="dxa" w:w="145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Повыше-ние уровня подготов-ки к военной службе</w:t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по делам культуры, спорта и вопросам молодежной политики администрации города </w:t>
            </w:r>
          </w:p>
        </w:tc>
      </w:tr>
      <w:tr>
        <w:trPr>
          <w:cantSplit w:val="false"/>
        </w:trPr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5.5.</w:t>
            </w:r>
          </w:p>
        </w:tc>
        <w:tc>
          <w:tcPr>
            <w:tcW w:type="dxa" w:w="3061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городских военно-спортивных игр, туристических слетов. </w:t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-«-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type="dxa" w:w="83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type="dxa" w:w="10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type="dxa" w:w="11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type="dxa" w:w="145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Повыше-ние уровня подготов-ки к военной службе</w:t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по делам культуры, спорта и вопросам молодежной политики администрации города, отдел образования администрации города </w:t>
            </w:r>
          </w:p>
        </w:tc>
      </w:tr>
      <w:tr>
        <w:trPr>
          <w:trHeight w:hRule="atLeast" w:val="2456"/>
          <w:cantSplit w:val="false"/>
        </w:trPr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5.6.</w:t>
            </w:r>
          </w:p>
        </w:tc>
        <w:tc>
          <w:tcPr>
            <w:tcW w:type="dxa" w:w="3061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оборонно-массовой работы, в том числе: мероприятия в честь Дня защитника Отечества, мероприятия, посвященные Дню памяти о россиянах, исполнявших служебный долг за пределами Отечества. </w:t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 бюджет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type="dxa" w:w="83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type="dxa" w:w="10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type="dxa" w:w="11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type="dxa" w:w="145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Повыше-ние процента положи-тельной мотива-ции к службе в армии</w:t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культуры, спорта и вопросам молодежной политики администрации города,  отдел организационно-правовой и кадровой работы администрации города</w:t>
            </w:r>
          </w:p>
        </w:tc>
      </w:tr>
      <w:tr>
        <w:trPr>
          <w:cantSplit w:val="false"/>
        </w:trPr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5.7.</w:t>
            </w:r>
          </w:p>
        </w:tc>
        <w:tc>
          <w:tcPr>
            <w:tcW w:type="dxa" w:w="3061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 проведение городского Дня призывника. </w:t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type="dxa" w:w="83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type="dxa" w:w="10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type="dxa" w:w="11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type="dxa" w:w="998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type="dxa" w:w="1451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Повыше-ние процента положи-тельной мотива-ции к службе в армии</w:t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культуры, спорта и вопросам молодежной политики администрации города</w:t>
            </w:r>
          </w:p>
        </w:tc>
      </w:tr>
      <w:tr>
        <w:trPr>
          <w:cantSplit w:val="false"/>
        </w:trPr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5.8.</w:t>
            </w:r>
          </w:p>
        </w:tc>
        <w:tc>
          <w:tcPr>
            <w:tcW w:type="dxa" w:w="3061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пятидневных учебных сборов учащихся 10 классов муниципальных общеобразовательных учреждений. (далее МОУ). </w:t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152,4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type="dxa" w:w="83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type="dxa" w:w="10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type="dxa" w:w="113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type="dxa" w:w="1451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Повыше-ние уровня подготов-ки к военной службе</w:t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образования администрации города </w:t>
            </w:r>
          </w:p>
        </w:tc>
      </w:tr>
      <w:tr>
        <w:trPr>
          <w:cantSplit w:val="false"/>
        </w:trPr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5.9</w:t>
            </w:r>
          </w:p>
        </w:tc>
        <w:tc>
          <w:tcPr>
            <w:tcW w:type="dxa" w:w="3061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городского смотра-конкурса кабинетов по предмету «Обеспечение безопасности жизнедеятельности (далее ОБЖ) в МОУ».</w:t>
            </w:r>
          </w:p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type="dxa" w:w="83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type="dxa" w:w="10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type="dxa" w:w="113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type="dxa" w:w="1451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Повыше-ние уровня подготов-ки к военной службе</w:t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города</w:t>
            </w:r>
          </w:p>
        </w:tc>
      </w:tr>
      <w:tr>
        <w:trPr>
          <w:cantSplit w:val="false"/>
        </w:trPr>
        <w:tc>
          <w:tcPr>
            <w:tcW w:type="dxa" w:w="11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061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ИТОГО по подпрограмме: </w:t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430,4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type="dxa" w:w="83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type="dxa" w:w="10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type="dxa" w:w="113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type="dxa" w:w="1451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188"/>
            <w:vMerge w:val="restart"/>
            <w:tcBorders>
              <w:top w:color="00000A" w:space="0" w:sz="4" w:val="single"/>
              <w:left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061"/>
            <w:gridSpan w:val="3"/>
            <w:vMerge w:val="restart"/>
            <w:tcBorders>
              <w:top w:color="00000A" w:space="0" w:sz="4" w:val="single"/>
              <w:left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 по программе</w:t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22855,1 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3195,6</w:t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3655,5</w:t>
            </w:r>
          </w:p>
        </w:tc>
        <w:tc>
          <w:tcPr>
            <w:tcW w:type="dxa" w:w="83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2834,0</w:t>
            </w:r>
          </w:p>
        </w:tc>
        <w:tc>
          <w:tcPr>
            <w:tcW w:type="dxa" w:w="10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3109,0</w:t>
            </w:r>
          </w:p>
        </w:tc>
        <w:tc>
          <w:tcPr>
            <w:tcW w:type="dxa" w:w="113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3136,0</w:t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3288,0</w:t>
            </w:r>
          </w:p>
        </w:tc>
        <w:tc>
          <w:tcPr>
            <w:tcW w:type="dxa" w:w="1451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3637,0</w:t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188"/>
            <w:vMerge w:val="continue"/>
            <w:tcBorders>
              <w:top w:color="00000A" w:space="0" w:sz="4" w:val="single"/>
              <w:left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061"/>
            <w:gridSpan w:val="3"/>
            <w:vMerge w:val="continue"/>
            <w:tcBorders>
              <w:top w:color="00000A" w:space="0" w:sz="4" w:val="single"/>
              <w:left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Городс-кой бюджет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18275,1 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2605,6</w:t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3065,5</w:t>
            </w:r>
          </w:p>
        </w:tc>
        <w:tc>
          <w:tcPr>
            <w:tcW w:type="dxa" w:w="83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2244,0</w:t>
            </w:r>
          </w:p>
        </w:tc>
        <w:tc>
          <w:tcPr>
            <w:tcW w:type="dxa" w:w="10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2424,0</w:t>
            </w:r>
          </w:p>
        </w:tc>
        <w:tc>
          <w:tcPr>
            <w:tcW w:type="dxa" w:w="113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2451,0</w:t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2603,0</w:t>
            </w:r>
          </w:p>
        </w:tc>
        <w:tc>
          <w:tcPr>
            <w:tcW w:type="dxa" w:w="1451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2882,0</w:t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5"/>
          <w:cantSplit w:val="false"/>
        </w:trPr>
        <w:tc>
          <w:tcPr>
            <w:tcW w:type="dxa" w:w="1188"/>
            <w:vMerge w:val="continue"/>
            <w:tcBorders>
              <w:left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061"/>
            <w:gridSpan w:val="3"/>
            <w:vMerge w:val="continue"/>
            <w:tcBorders>
              <w:left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Област-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375,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type="dxa" w:w="83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type="dxa" w:w="10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type="dxa" w:w="113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type="dxa" w:w="1451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420"/>
          <w:cantSplit w:val="false"/>
        </w:trPr>
        <w:tc>
          <w:tcPr>
            <w:tcW w:type="dxa" w:w="1188"/>
            <w:vMerge w:val="continue"/>
            <w:tcBorders>
              <w:left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061"/>
            <w:gridSpan w:val="3"/>
            <w:vMerge w:val="continue"/>
            <w:tcBorders>
              <w:left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83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0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13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451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00"/>
          <w:cantSplit w:val="false"/>
        </w:trPr>
        <w:tc>
          <w:tcPr>
            <w:tcW w:type="dxa" w:w="1188"/>
            <w:vMerge w:val="continue"/>
            <w:tcBorders>
              <w:left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061"/>
            <w:gridSpan w:val="3"/>
            <w:vMerge w:val="continue"/>
            <w:tcBorders>
              <w:left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ной бюджет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83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0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13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451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188"/>
            <w:vMerge w:val="continue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061"/>
            <w:gridSpan w:val="3"/>
            <w:vMerge w:val="continue"/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type="dxa" w:w="127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type="dxa" w:w="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4205,0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540,0</w:t>
            </w:r>
          </w:p>
        </w:tc>
        <w:tc>
          <w:tcPr>
            <w:tcW w:type="dxa" w:w="170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540,0</w:t>
            </w:r>
          </w:p>
        </w:tc>
        <w:tc>
          <w:tcPr>
            <w:tcW w:type="dxa" w:w="83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540,0</w:t>
            </w:r>
          </w:p>
        </w:tc>
        <w:tc>
          <w:tcPr>
            <w:tcW w:type="dxa" w:w="10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type="dxa" w:w="113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type="dxa" w:w="992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type="dxa" w:w="1451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1695,0</w:t>
            </w:r>
          </w:p>
        </w:tc>
        <w:tc>
          <w:tcPr>
            <w:tcW w:type="dxa" w:w="53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84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0"/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style0"/>
      </w:pPr>
      <w:r>
        <w:rPr/>
      </w:r>
    </w:p>
    <w:sectPr>
      <w:type w:val="nextPage"/>
      <w:pgSz w:h="11906" w:orient="landscape" w:w="16838"/>
      <w:pgMar w:bottom="851" w:footer="0" w:gutter="0" w:header="0" w:left="1134" w:right="1134" w:top="1701"/>
      <w:pgNumType w:fmt="decimal"/>
      <w:formProt w:val="false"/>
      <w:textDirection w:val="lrTb"/>
      <w:docGrid w:charSpace="-2049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1"/>
      <w:numFmt w:val="decimal"/>
      <w:lvlText w:val="%1."/>
      <w:lvlJc w:val="left"/>
      <w:pPr>
        <w:ind w:hanging="360" w:left="720"/>
      </w:pPr>
      <w:rPr>
        <w:color w:val="00000A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2.%3."/>
      <w:lvlJc w:val="right"/>
      <w:pPr>
        <w:ind w:hanging="180" w:left="2160"/>
      </w:pPr>
    </w:lvl>
    <w:lvl w:ilvl="3">
      <w:start w:val="1"/>
      <w:numFmt w:val="decimal"/>
      <w:lvlText w:val="%2.%3.%4."/>
      <w:lvlJc w:val="left"/>
      <w:pPr>
        <w:ind w:hanging="360" w:left="2880"/>
      </w:pPr>
    </w:lvl>
    <w:lvl w:ilvl="4">
      <w:start w:val="1"/>
      <w:numFmt w:val="lowerLetter"/>
      <w:lvlText w:val="%2.%3.%4.%5."/>
      <w:lvlJc w:val="left"/>
      <w:pPr>
        <w:ind w:hanging="360" w:left="3600"/>
      </w:pPr>
    </w:lvl>
    <w:lvl w:ilvl="5">
      <w:start w:val="1"/>
      <w:numFmt w:val="lowerRoman"/>
      <w:lvlText w:val="%2.%3.%4.%5.%6."/>
      <w:lvlJc w:val="right"/>
      <w:pPr>
        <w:ind w:hanging="180" w:left="4320"/>
      </w:pPr>
    </w:lvl>
    <w:lvl w:ilvl="6">
      <w:start w:val="1"/>
      <w:numFmt w:val="decimal"/>
      <w:lvlText w:val="%2.%3.%4.%5.%6.%7."/>
      <w:lvlJc w:val="left"/>
      <w:pPr>
        <w:ind w:hanging="360" w:left="5040"/>
      </w:pPr>
    </w:lvl>
    <w:lvl w:ilvl="7">
      <w:start w:val="1"/>
      <w:numFmt w:val="lowerLetter"/>
      <w:lvlText w:val="%2.%3.%4.%5.%6.%7.%8."/>
      <w:lvlJc w:val="left"/>
      <w:pPr>
        <w:ind w:hanging="360" w:left="5760"/>
      </w:pPr>
    </w:lvl>
    <w:lvl w:ilvl="8">
      <w:start w:val="1"/>
      <w:numFmt w:val="lowerRoman"/>
      <w:lvlText w:val="%2.%3.%4.%5.%6.%7.%8.%9."/>
      <w:lvlJc w:val="right"/>
      <w:pPr>
        <w:ind w:hanging="180" w:left="6480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Times New Roman" w:eastAsia="Calibri" w:hAnsi="Calibri"/>
      <w:color w:val="auto"/>
      <w:sz w:val="22"/>
      <w:szCs w:val="22"/>
      <w:lang w:bidi="ar-SA" w:eastAsia="en-US" w:val="ru-RU"/>
    </w:rPr>
  </w:style>
  <w:style w:styleId="style1" w:type="paragraph">
    <w:name w:val="Заголовок 1"/>
    <w:basedOn w:val="style0"/>
    <w:next w:val="style25"/>
    <w:pPr>
      <w:keepNext/>
      <w:spacing w:after="60" w:before="240"/>
    </w:pPr>
    <w:rPr>
      <w:rFonts w:ascii="Cambria" w:eastAsia="Times New Roman" w:hAnsi="Cambria"/>
      <w:b/>
      <w:bCs/>
      <w:sz w:val="32"/>
      <w:szCs w:val="32"/>
    </w:rPr>
  </w:style>
  <w:style w:styleId="style2" w:type="paragraph">
    <w:name w:val="Заголовок 2"/>
    <w:basedOn w:val="style0"/>
    <w:next w:val="style25"/>
    <w:pPr>
      <w:keepNext/>
      <w:numPr>
        <w:ilvl w:val="1"/>
        <w:numId w:val="1"/>
      </w:numPr>
      <w:spacing w:after="0" w:before="0" w:line="100" w:lineRule="atLeast"/>
      <w:jc w:val="center"/>
      <w:outlineLvl w:val="1"/>
    </w:pPr>
    <w:rPr>
      <w:rFonts w:ascii="Times New Roman" w:eastAsia="Times New Roman" w:hAnsi="Times New Roman"/>
      <w:b/>
      <w:bCs/>
      <w:i/>
      <w:iCs/>
      <w:sz w:val="36"/>
      <w:szCs w:val="24"/>
      <w:lang w:eastAsia="ru-RU"/>
    </w:rPr>
  </w:style>
  <w:style w:styleId="style3" w:type="paragraph">
    <w:name w:val="Заголовок 3"/>
    <w:basedOn w:val="style0"/>
    <w:next w:val="style25"/>
    <w:pPr>
      <w:keepNext/>
      <w:numPr>
        <w:ilvl w:val="2"/>
        <w:numId w:val="1"/>
      </w:numPr>
      <w:spacing w:after="0" w:before="0" w:line="100" w:lineRule="atLeast"/>
      <w:jc w:val="center"/>
      <w:outlineLvl w:val="2"/>
    </w:pPr>
    <w:rPr>
      <w:rFonts w:ascii="Times New Roman" w:eastAsia="Times New Roman" w:hAnsi="Times New Roman"/>
      <w:b/>
      <w:i/>
      <w:sz w:val="28"/>
      <w:szCs w:val="24"/>
      <w:lang w:eastAsia="ru-RU"/>
    </w:rPr>
  </w:style>
  <w:style w:styleId="style15" w:type="character">
    <w:name w:val="Default Paragraph Font"/>
    <w:next w:val="style15"/>
    <w:rPr/>
  </w:style>
  <w:style w:styleId="style16" w:type="character">
    <w:name w:val="Заголовок 1 Знак"/>
    <w:basedOn w:val="style15"/>
    <w:next w:val="style16"/>
    <w:rPr>
      <w:rFonts w:ascii="Cambria" w:cs="Times New Roman" w:eastAsia="Times New Roman" w:hAnsi="Cambria"/>
      <w:b/>
      <w:bCs/>
      <w:sz w:val="32"/>
      <w:szCs w:val="32"/>
    </w:rPr>
  </w:style>
  <w:style w:styleId="style17" w:type="character">
    <w:name w:val="Заголовок 2 Знак"/>
    <w:basedOn w:val="style15"/>
    <w:next w:val="style17"/>
    <w:rPr>
      <w:rFonts w:ascii="Times New Roman" w:cs="Times New Roman" w:eastAsia="Times New Roman" w:hAnsi="Times New Roman"/>
      <w:b/>
      <w:bCs/>
      <w:i/>
      <w:iCs/>
      <w:sz w:val="36"/>
      <w:szCs w:val="24"/>
      <w:lang w:eastAsia="ru-RU"/>
    </w:rPr>
  </w:style>
  <w:style w:styleId="style18" w:type="character">
    <w:name w:val="Заголовок 3 Знак"/>
    <w:basedOn w:val="style15"/>
    <w:next w:val="style18"/>
    <w:rPr>
      <w:rFonts w:ascii="Times New Roman" w:cs="Times New Roman" w:eastAsia="Times New Roman" w:hAnsi="Times New Roman"/>
      <w:b/>
      <w:i/>
      <w:sz w:val="28"/>
      <w:szCs w:val="24"/>
      <w:lang w:eastAsia="ru-RU"/>
    </w:rPr>
  </w:style>
  <w:style w:styleId="style19" w:type="character">
    <w:name w:val="Текст выноски Знак"/>
    <w:basedOn w:val="style15"/>
    <w:next w:val="style19"/>
    <w:rPr>
      <w:rFonts w:ascii="Tahoma" w:cs="Tahoma" w:eastAsia="Calibri" w:hAnsi="Tahoma"/>
      <w:sz w:val="16"/>
      <w:szCs w:val="16"/>
    </w:rPr>
  </w:style>
  <w:style w:styleId="style20" w:type="character">
    <w:name w:val="Название Знак"/>
    <w:basedOn w:val="style15"/>
    <w:next w:val="style20"/>
    <w:rPr>
      <w:rFonts w:ascii="Times New Roman" w:cs="Times New Roman" w:eastAsia="Times New Roman" w:hAnsi="Times New Roman"/>
      <w:b/>
      <w:bCs/>
      <w:i/>
      <w:iCs/>
      <w:sz w:val="28"/>
      <w:szCs w:val="24"/>
      <w:lang w:eastAsia="ru-RU"/>
    </w:rPr>
  </w:style>
  <w:style w:styleId="style21" w:type="character">
    <w:name w:val="Основной текст Знак"/>
    <w:basedOn w:val="style15"/>
    <w:next w:val="style21"/>
    <w:rPr>
      <w:rFonts w:ascii="Times New Roman" w:cs="Times New Roman" w:eastAsia="Times New Roman" w:hAnsi="Times New Roman"/>
      <w:b/>
      <w:bCs/>
      <w:i/>
      <w:iCs/>
      <w:sz w:val="28"/>
      <w:szCs w:val="24"/>
      <w:lang w:eastAsia="ru-RU"/>
    </w:rPr>
  </w:style>
  <w:style w:styleId="style22" w:type="character">
    <w:name w:val="Основной шрифт абзаца1"/>
    <w:next w:val="style22"/>
    <w:rPr/>
  </w:style>
  <w:style w:styleId="style23" w:type="character">
    <w:name w:val="ListLabel 1"/>
    <w:next w:val="style23"/>
    <w:rPr>
      <w:color w:val="00000A"/>
    </w:rPr>
  </w:style>
  <w:style w:styleId="style24" w:type="paragraph">
    <w:name w:val="Заголовок"/>
    <w:basedOn w:val="style0"/>
    <w:next w:val="style25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style25" w:type="paragraph">
    <w:name w:val="Основной текст"/>
    <w:basedOn w:val="style0"/>
    <w:next w:val="style25"/>
    <w:pPr>
      <w:spacing w:after="0" w:before="0" w:line="100" w:lineRule="atLeast"/>
      <w:jc w:val="center"/>
    </w:pPr>
    <w:rPr>
      <w:rFonts w:ascii="Times New Roman" w:eastAsia="Times New Roman" w:hAnsi="Times New Roman"/>
      <w:b/>
      <w:bCs/>
      <w:i/>
      <w:iCs/>
      <w:sz w:val="28"/>
      <w:szCs w:val="24"/>
      <w:lang w:eastAsia="ru-RU"/>
    </w:rPr>
  </w:style>
  <w:style w:styleId="style26" w:type="paragraph">
    <w:name w:val="Список"/>
    <w:basedOn w:val="style25"/>
    <w:next w:val="style26"/>
    <w:pPr/>
    <w:rPr>
      <w:rFonts w:cs="Mangal"/>
    </w:rPr>
  </w:style>
  <w:style w:styleId="style27" w:type="paragraph">
    <w:name w:val="Название"/>
    <w:basedOn w:val="style0"/>
    <w:next w:val="style27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8" w:type="paragraph">
    <w:name w:val="Указатель"/>
    <w:basedOn w:val="style0"/>
    <w:next w:val="style28"/>
    <w:pPr>
      <w:suppressLineNumbers/>
    </w:pPr>
    <w:rPr>
      <w:rFonts w:cs="Mangal"/>
    </w:rPr>
  </w:style>
  <w:style w:styleId="style29" w:type="paragraph">
    <w:name w:val="Balloon Text"/>
    <w:basedOn w:val="style0"/>
    <w:next w:val="style29"/>
    <w:pPr>
      <w:spacing w:after="0" w:before="0" w:line="100" w:lineRule="atLeast"/>
    </w:pPr>
    <w:rPr>
      <w:rFonts w:ascii="Tahoma" w:cs="Tahoma" w:hAnsi="Tahoma"/>
      <w:sz w:val="16"/>
      <w:szCs w:val="16"/>
    </w:rPr>
  </w:style>
  <w:style w:styleId="style30" w:type="paragraph">
    <w:name w:val="ConsPlusNormal"/>
    <w:next w:val="style30"/>
    <w:pPr>
      <w:widowControl w:val="false"/>
      <w:tabs>
        <w:tab w:leader="none" w:pos="708" w:val="left"/>
      </w:tabs>
      <w:suppressAutoHyphens w:val="true"/>
      <w:spacing w:after="0" w:before="0" w:line="100" w:lineRule="atLeast"/>
      <w:ind w:firstLine="720" w:left="0" w:right="0"/>
    </w:pPr>
    <w:rPr>
      <w:rFonts w:ascii="Arial" w:cs="Arial" w:eastAsia="Times New Roman" w:hAnsi="Arial"/>
      <w:color w:val="auto"/>
      <w:sz w:val="20"/>
      <w:szCs w:val="20"/>
      <w:lang w:bidi="ar-SA" w:eastAsia="ru-RU" w:val="ru-RU"/>
    </w:rPr>
  </w:style>
  <w:style w:styleId="style31" w:type="paragraph">
    <w:name w:val="Заглавие"/>
    <w:basedOn w:val="style0"/>
    <w:next w:val="style32"/>
    <w:pPr>
      <w:spacing w:after="0" w:before="0" w:line="100" w:lineRule="atLeast"/>
      <w:jc w:val="center"/>
    </w:pPr>
    <w:rPr>
      <w:rFonts w:ascii="Times New Roman" w:eastAsia="Times New Roman" w:hAnsi="Times New Roman"/>
      <w:b/>
      <w:bCs/>
      <w:i/>
      <w:iCs/>
      <w:sz w:val="28"/>
      <w:szCs w:val="24"/>
      <w:lang w:eastAsia="ru-RU"/>
    </w:rPr>
  </w:style>
  <w:style w:styleId="style32" w:type="paragraph">
    <w:name w:val="Подзаголовок"/>
    <w:basedOn w:val="style24"/>
    <w:next w:val="style25"/>
    <w:pPr>
      <w:jc w:val="center"/>
    </w:pPr>
    <w:rPr>
      <w:i/>
      <w:iCs/>
      <w:sz w:val="28"/>
      <w:szCs w:val="28"/>
    </w:rPr>
  </w:style>
  <w:style w:styleId="style33" w:type="paragraph">
    <w:name w:val="ConsPlusNonformat"/>
    <w:next w:val="style33"/>
    <w:pPr>
      <w:widowControl w:val="false"/>
      <w:tabs>
        <w:tab w:leader="none" w:pos="708" w:val="left"/>
      </w:tabs>
      <w:suppressAutoHyphens w:val="true"/>
      <w:spacing w:after="0" w:before="0" w:line="100" w:lineRule="atLeast"/>
    </w:pPr>
    <w:rPr>
      <w:rFonts w:ascii="Courier New" w:cs="Courier New" w:eastAsia="Courier New" w:hAnsi="Courier New"/>
      <w:color w:val="auto"/>
      <w:sz w:val="24"/>
      <w:szCs w:val="24"/>
      <w:lang w:bidi="hi-IN" w:eastAsia="hi-IN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2015-04-02T05:49:00.00Z</dcterms:created>
  <dc:creator>Galina</dc:creator>
  <cp:lastModifiedBy>Galina</cp:lastModifiedBy>
  <cp:lastPrinted>2015-04-02T08:30:00.00Z</cp:lastPrinted>
  <dcterms:modified xsi:type="dcterms:W3CDTF">2015-04-02T08:37:00.00Z</dcterms:modified>
  <cp:revision>4</cp:revision>
</cp:coreProperties>
</file>